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AC" w:rsidRDefault="006A78AC" w:rsidP="00444C73">
      <w:pPr>
        <w:spacing w:line="450" w:lineRule="atLeast"/>
        <w:jc w:val="both"/>
      </w:pPr>
      <w:r>
        <w:t>Introduced by the Council President at the request of the Office of General Counsel:</w:t>
      </w:r>
    </w:p>
    <w:p w:rsidR="006A78AC" w:rsidRDefault="006A78AC" w:rsidP="00444C73">
      <w:pPr>
        <w:spacing w:line="450" w:lineRule="atLeast"/>
        <w:jc w:val="both"/>
      </w:pPr>
    </w:p>
    <w:p w:rsidR="006A78AC" w:rsidRDefault="006A78AC" w:rsidP="00444C73">
      <w:pPr>
        <w:spacing w:line="450" w:lineRule="atLeast"/>
        <w:jc w:val="both"/>
      </w:pPr>
    </w:p>
    <w:p w:rsidR="006A78AC" w:rsidRPr="00444C73" w:rsidRDefault="006A78AC" w:rsidP="00444C73">
      <w:pPr>
        <w:spacing w:line="450" w:lineRule="atLeast"/>
        <w:jc w:val="center"/>
        <w:rPr>
          <w:b/>
          <w:bCs/>
        </w:rPr>
      </w:pPr>
      <w:r>
        <w:rPr>
          <w:b/>
          <w:bCs/>
        </w:rPr>
        <w:t>ORDINANCE 2016-438</w:t>
      </w:r>
    </w:p>
    <w:p w:rsidR="006A78AC" w:rsidRDefault="006A78AC" w:rsidP="00107ED4">
      <w:pPr>
        <w:spacing w:line="450" w:lineRule="atLeast"/>
        <w:ind w:left="1440" w:right="1440"/>
        <w:jc w:val="both"/>
      </w:pPr>
      <w:r>
        <w:t xml:space="preserve">AN ORDINANCE APPROPRIATING $125,000.00 FROM THE GENERAL FUND – GSD TO PROVIDE FUNDS TO SETTLE A PENDING FOURTH JUDICIAL CIRCUIT STATE COURT LAWSUIT AGAINST THE CITY FOR DAMAGES CLAIMED TO BE IN EXCESS OF $700,000.00 STYLED PALMS PARTNERSHIP, LLC V. CITY OF JACKSONVILLE, AS INITIATED BY B.T. 16-091; PROVIDING FOR A CARRYOVER OF FUNDS TO FISCAL YEAR 2016-2017; APPROVING AND AUTHORIZING THE MAYOR, OR HIS DESIGNEE, AND THE CORPORATION SECRETARY TO EXECUTE AND DELIVER, FOR AND ON BEHALF OF THE CITY, THE SETTLEMENT AND RELEASE AGREEMENT BETWEEN PALMS PARTNERSHIP, LLC AND THE CITY IN THE CASE OF PALMS PARTNERSHIP, LLC VS. CITY OF JACKSONVILLE, CASE NO. 2012-CA-012382, IN THE CIRCUIT COURT OF THE FOURTH JUDICIAL CIRCUIT, IN AND FOR DUVAL COUNTY, FLORIDA, AND SUCH </w:t>
      </w:r>
      <w:r w:rsidRPr="007C4DA8">
        <w:t xml:space="preserve">DOCUMENTS </w:t>
      </w:r>
      <w:r>
        <w:t xml:space="preserve">AS ARE </w:t>
      </w:r>
      <w:r w:rsidRPr="007C4DA8">
        <w:t xml:space="preserve">NECESSARY TO EFFECT SUCH </w:t>
      </w:r>
      <w:r>
        <w:t>SETTLEMENT; PROVIDING FOR CITY OVERSIGHT BY THE DEPARTMENT OF PARKS, RECREATION AND COMMUNITY SERVICES; PROVIDING AN EFFECTIVE DATE.</w:t>
      </w:r>
    </w:p>
    <w:p w:rsidR="006A78AC" w:rsidRPr="003D1439" w:rsidRDefault="006A78AC" w:rsidP="009C53F8">
      <w:pPr>
        <w:spacing w:line="450" w:lineRule="atLeast"/>
        <w:ind w:firstLine="720"/>
        <w:jc w:val="both"/>
        <w:rPr>
          <w:snapToGrid w:val="0"/>
        </w:rPr>
      </w:pPr>
      <w:r w:rsidRPr="003D1439">
        <w:rPr>
          <w:b/>
          <w:bCs/>
          <w:snapToGrid w:val="0"/>
        </w:rPr>
        <w:t>WHEREAS</w:t>
      </w:r>
      <w:r w:rsidRPr="003D1439">
        <w:rPr>
          <w:snapToGrid w:val="0"/>
        </w:rPr>
        <w:t>, on November 31, 2005, Palms Partnership, LLC (“the Palms” or “Palms”) and the City of Jacksonville (“the City” or “COJ”) entered into a Restaurant Management Agreement (the “RMA”) for the construction, operation, and management of a restaurant by the Palms on real property owned by COJ and located at 6359 Heckscher Drive, Jacksonville, Florida (the “Property”);  and</w:t>
      </w:r>
    </w:p>
    <w:p w:rsidR="006A78AC" w:rsidRPr="003D1439" w:rsidRDefault="006A78AC" w:rsidP="009C53F8">
      <w:pPr>
        <w:spacing w:line="450" w:lineRule="atLeast"/>
        <w:ind w:firstLine="720"/>
        <w:jc w:val="both"/>
        <w:rPr>
          <w:snapToGrid w:val="0"/>
        </w:rPr>
      </w:pPr>
      <w:r w:rsidRPr="003D1439">
        <w:rPr>
          <w:b/>
          <w:bCs/>
          <w:snapToGrid w:val="0"/>
        </w:rPr>
        <w:t>WHEREAS</w:t>
      </w:r>
      <w:r w:rsidRPr="003D1439">
        <w:rPr>
          <w:snapToGrid w:val="0"/>
        </w:rPr>
        <w:t>, the RMA was amended five times, which among other things extended the deadline for the Palms to complete construction of the restaurant on the Property and begin operating it through March 1, 2010; and</w:t>
      </w:r>
    </w:p>
    <w:p w:rsidR="006A78AC" w:rsidRPr="003D1439" w:rsidRDefault="006A78AC" w:rsidP="009C53F8">
      <w:pPr>
        <w:spacing w:line="450" w:lineRule="atLeast"/>
        <w:ind w:firstLine="720"/>
        <w:jc w:val="both"/>
        <w:rPr>
          <w:snapToGrid w:val="0"/>
        </w:rPr>
      </w:pPr>
      <w:r w:rsidRPr="003D1439">
        <w:rPr>
          <w:b/>
          <w:bCs/>
          <w:snapToGrid w:val="0"/>
        </w:rPr>
        <w:t>WHEREAS</w:t>
      </w:r>
      <w:r w:rsidRPr="003D1439">
        <w:rPr>
          <w:snapToGrid w:val="0"/>
        </w:rPr>
        <w:t>, the Palms began construction of a restaurant building and related structures and facilities on the Property (the “Facility”); and</w:t>
      </w:r>
    </w:p>
    <w:p w:rsidR="006A78AC" w:rsidRPr="003D1439" w:rsidRDefault="006A78AC" w:rsidP="009C53F8">
      <w:pPr>
        <w:spacing w:line="450" w:lineRule="atLeast"/>
        <w:ind w:firstLine="720"/>
        <w:jc w:val="both"/>
        <w:rPr>
          <w:snapToGrid w:val="0"/>
        </w:rPr>
      </w:pPr>
      <w:r w:rsidRPr="003D1439">
        <w:rPr>
          <w:b/>
          <w:bCs/>
          <w:snapToGrid w:val="0"/>
        </w:rPr>
        <w:t>WHEREAS</w:t>
      </w:r>
      <w:r w:rsidRPr="003D1439">
        <w:rPr>
          <w:snapToGrid w:val="0"/>
        </w:rPr>
        <w:t>, Palms claims it expended in excess of $700,000 on such construction of the restaurant to the benefit of COJ; and</w:t>
      </w:r>
    </w:p>
    <w:p w:rsidR="006A78AC" w:rsidRPr="003D1439" w:rsidRDefault="006A78AC" w:rsidP="009C53F8">
      <w:pPr>
        <w:spacing w:line="450" w:lineRule="atLeast"/>
        <w:ind w:firstLine="720"/>
        <w:jc w:val="both"/>
        <w:rPr>
          <w:snapToGrid w:val="0"/>
        </w:rPr>
      </w:pPr>
      <w:r w:rsidRPr="003D1439">
        <w:rPr>
          <w:b/>
          <w:bCs/>
          <w:snapToGrid w:val="0"/>
        </w:rPr>
        <w:t>WHEREAS</w:t>
      </w:r>
      <w:r w:rsidRPr="003D1439">
        <w:rPr>
          <w:snapToGrid w:val="0"/>
        </w:rPr>
        <w:t>, COJ ultimately terminated the RMA by January 10, 2011, as COJ claimed the Palms failed to complete construction of the Facility and begin operations pursuant to the RMA; and</w:t>
      </w:r>
    </w:p>
    <w:p w:rsidR="006A78AC" w:rsidRPr="003D1439" w:rsidRDefault="006A78AC" w:rsidP="009C53F8">
      <w:pPr>
        <w:tabs>
          <w:tab w:val="left" w:pos="8640"/>
        </w:tabs>
        <w:spacing w:line="450" w:lineRule="atLeast"/>
        <w:ind w:firstLine="720"/>
        <w:jc w:val="both"/>
        <w:rPr>
          <w:snapToGrid w:val="0"/>
        </w:rPr>
      </w:pPr>
      <w:r w:rsidRPr="003D1439">
        <w:rPr>
          <w:b/>
          <w:bCs/>
          <w:snapToGrid w:val="0"/>
        </w:rPr>
        <w:t>WHEREAS</w:t>
      </w:r>
      <w:r w:rsidRPr="003D1439">
        <w:rPr>
          <w:snapToGrid w:val="0"/>
        </w:rPr>
        <w:t>, the Parties corresponded after January 10, 2011 regarding the poss</w:t>
      </w:r>
      <w:r>
        <w:rPr>
          <w:snapToGrid w:val="0"/>
        </w:rPr>
        <w:t>ibility of a new agreement under which</w:t>
      </w:r>
      <w:r w:rsidRPr="003D1439">
        <w:rPr>
          <w:snapToGrid w:val="0"/>
        </w:rPr>
        <w:t xml:space="preserve"> Palms might operate the restaurant; and </w:t>
      </w:r>
    </w:p>
    <w:p w:rsidR="006A78AC" w:rsidRPr="003D1439" w:rsidRDefault="006A78AC" w:rsidP="009C53F8">
      <w:pPr>
        <w:spacing w:line="450" w:lineRule="atLeast"/>
        <w:ind w:firstLine="720"/>
        <w:jc w:val="both"/>
        <w:rPr>
          <w:snapToGrid w:val="0"/>
        </w:rPr>
      </w:pPr>
      <w:r w:rsidRPr="003D1439">
        <w:rPr>
          <w:b/>
          <w:bCs/>
          <w:snapToGrid w:val="0"/>
        </w:rPr>
        <w:t>WHEREAS</w:t>
      </w:r>
      <w:r w:rsidRPr="003D1439">
        <w:rPr>
          <w:snapToGrid w:val="0"/>
        </w:rPr>
        <w:t xml:space="preserve">, the Palms filed a lawsuit against the City on November 14, 2012, styled </w:t>
      </w:r>
      <w:r w:rsidRPr="003D1439">
        <w:rPr>
          <w:i/>
          <w:iCs/>
          <w:snapToGrid w:val="0"/>
        </w:rPr>
        <w:t>The Palms Partnership, LLC v. City of Jacksonville</w:t>
      </w:r>
      <w:r w:rsidRPr="003D1439">
        <w:rPr>
          <w:snapToGrid w:val="0"/>
        </w:rPr>
        <w:t xml:space="preserve">, in the Duval County Circuit Court, Case No. 2012-CA-012382 (the “Litigation”) claiming damages for the termination of the RMA and relating to construction of the Facility, including allegedly wrongfully inducing Palms to nearly complete construction, as well as unjust enrichment; and </w:t>
      </w:r>
    </w:p>
    <w:p w:rsidR="006A78AC" w:rsidRPr="003D1439" w:rsidRDefault="006A78AC" w:rsidP="009C53F8">
      <w:pPr>
        <w:spacing w:line="450" w:lineRule="atLeast"/>
        <w:ind w:firstLine="720"/>
        <w:jc w:val="both"/>
        <w:rPr>
          <w:snapToGrid w:val="0"/>
        </w:rPr>
      </w:pPr>
      <w:r w:rsidRPr="003D1439">
        <w:rPr>
          <w:b/>
          <w:bCs/>
          <w:snapToGrid w:val="0"/>
        </w:rPr>
        <w:t>WHEREAS</w:t>
      </w:r>
      <w:r w:rsidRPr="003D1439">
        <w:rPr>
          <w:snapToGrid w:val="0"/>
        </w:rPr>
        <w:t>, COJ filed a Counterclaim in the Litigation against the Palms seeking damages for its failure to perform under the RMA; and</w:t>
      </w:r>
    </w:p>
    <w:p w:rsidR="006A78AC" w:rsidRDefault="006A78AC" w:rsidP="009C53F8">
      <w:pPr>
        <w:tabs>
          <w:tab w:val="left" w:pos="8640"/>
        </w:tabs>
        <w:spacing w:line="450" w:lineRule="atLeast"/>
        <w:ind w:firstLine="720"/>
        <w:jc w:val="both"/>
        <w:rPr>
          <w:snapToGrid w:val="0"/>
        </w:rPr>
      </w:pPr>
      <w:r w:rsidRPr="003D1439">
        <w:rPr>
          <w:b/>
          <w:bCs/>
          <w:snapToGrid w:val="0"/>
        </w:rPr>
        <w:t>WHEREAS</w:t>
      </w:r>
      <w:r w:rsidRPr="003D1439">
        <w:rPr>
          <w:snapToGrid w:val="0"/>
        </w:rPr>
        <w:t>, the Parties have disputed any wrongdoing or liability to each other; and</w:t>
      </w:r>
    </w:p>
    <w:p w:rsidR="006A78AC" w:rsidRDefault="006A78AC" w:rsidP="009C53F8">
      <w:pPr>
        <w:tabs>
          <w:tab w:val="left" w:pos="8640"/>
        </w:tabs>
        <w:spacing w:line="450" w:lineRule="atLeast"/>
        <w:ind w:firstLine="720"/>
        <w:jc w:val="both"/>
        <w:rPr>
          <w:snapToGrid w:val="0"/>
        </w:rPr>
      </w:pPr>
      <w:r w:rsidRPr="003D1439">
        <w:rPr>
          <w:b/>
          <w:bCs/>
          <w:snapToGrid w:val="0"/>
        </w:rPr>
        <w:t>WHEREAS</w:t>
      </w:r>
      <w:r w:rsidRPr="003D1439">
        <w:rPr>
          <w:snapToGrid w:val="0"/>
        </w:rPr>
        <w:t>, the Parties wish to avoid the risk and uncertainty associated with further litigation and to compromise and completely resolve the Litigation without admitting or conceding liability, and they have negotiated a proposed agreement to do so, subject to necessary City Council approval; now, therefore,</w:t>
      </w:r>
      <w:r w:rsidRPr="00306EAC">
        <w:rPr>
          <w:snapToGrid w:val="0"/>
        </w:rPr>
        <w:t xml:space="preserve"> </w:t>
      </w:r>
    </w:p>
    <w:p w:rsidR="006A78AC" w:rsidRDefault="006A78AC" w:rsidP="009C53F8">
      <w:pPr>
        <w:spacing w:line="450" w:lineRule="atLeast"/>
        <w:ind w:firstLine="720"/>
        <w:jc w:val="both"/>
      </w:pPr>
      <w:r w:rsidRPr="00444C73">
        <w:rPr>
          <w:b/>
          <w:bCs/>
        </w:rPr>
        <w:t>BE</w:t>
      </w:r>
      <w:r>
        <w:t xml:space="preserve"> </w:t>
      </w:r>
      <w:r w:rsidRPr="00444C73">
        <w:rPr>
          <w:b/>
          <w:bCs/>
        </w:rPr>
        <w:t>IT</w:t>
      </w:r>
      <w:r>
        <w:t xml:space="preserve"> </w:t>
      </w:r>
      <w:r w:rsidRPr="00444C73">
        <w:rPr>
          <w:b/>
          <w:bCs/>
        </w:rPr>
        <w:t>ORDAINED</w:t>
      </w:r>
      <w:r>
        <w:t xml:space="preserve"> by the Council of the City of Jacksonville:</w:t>
      </w:r>
    </w:p>
    <w:p w:rsidR="006A78AC" w:rsidRDefault="006A78AC" w:rsidP="009C53F8">
      <w:pPr>
        <w:pStyle w:val="BodyText"/>
        <w:widowControl w:val="0"/>
        <w:ind w:firstLine="720"/>
        <w:jc w:val="both"/>
      </w:pPr>
      <w:r>
        <w:rPr>
          <w:b/>
          <w:bCs/>
        </w:rPr>
        <w:t>Section 1.</w:t>
      </w:r>
      <w:r>
        <w:tab/>
      </w:r>
      <w:r>
        <w:tab/>
      </w:r>
      <w:r>
        <w:rPr>
          <w:b/>
          <w:bCs/>
        </w:rPr>
        <w:t>Appropriation.</w:t>
      </w:r>
      <w:r>
        <w:t xml:space="preserve">  For the 2015-2016 fiscal year, within the City’s budget, there are hereby appropriated the indicated sum(s) from the account(s) listed in subsection (a) to the account(s) listed in subsection (b):</w:t>
      </w:r>
    </w:p>
    <w:p w:rsidR="006A78AC" w:rsidRDefault="006A78AC" w:rsidP="009C53F8">
      <w:pPr>
        <w:pStyle w:val="BodyText"/>
        <w:widowControl w:val="0"/>
      </w:pPr>
      <w:r>
        <w:t xml:space="preserve">(B.T. 16-091 attached hereto as </w:t>
      </w:r>
      <w:r>
        <w:rPr>
          <w:b/>
          <w:bCs/>
        </w:rPr>
        <w:t xml:space="preserve">Exhibit 1 </w:t>
      </w:r>
      <w:r>
        <w:t>and incorporated herein by this reference)</w:t>
      </w:r>
    </w:p>
    <w:p w:rsidR="006A78AC" w:rsidRDefault="006A78AC" w:rsidP="009C53F8">
      <w:pPr>
        <w:pStyle w:val="BodyText"/>
        <w:widowControl w:val="0"/>
        <w:ind w:firstLine="720"/>
      </w:pPr>
      <w:r>
        <w:t>(a)</w:t>
      </w:r>
      <w:r>
        <w:tab/>
        <w:t>Appropriated from:</w:t>
      </w:r>
    </w:p>
    <w:p w:rsidR="006A78AC" w:rsidRDefault="006A78AC" w:rsidP="009C53F8">
      <w:pPr>
        <w:pStyle w:val="BodyText"/>
        <w:widowControl w:val="0"/>
        <w:ind w:firstLine="1440"/>
      </w:pPr>
      <w:r>
        <w:t>See B.T. 16-091</w:t>
      </w:r>
      <w:r>
        <w:tab/>
      </w:r>
      <w:r>
        <w:tab/>
      </w:r>
      <w:r>
        <w:tab/>
      </w:r>
      <w:r>
        <w:tab/>
      </w:r>
      <w:r>
        <w:tab/>
        <w:t>$125,000</w:t>
      </w:r>
    </w:p>
    <w:p w:rsidR="006A78AC" w:rsidRDefault="006A78AC" w:rsidP="009C53F8">
      <w:pPr>
        <w:pStyle w:val="BodyText"/>
        <w:widowControl w:val="0"/>
        <w:ind w:firstLine="720"/>
      </w:pPr>
      <w:r>
        <w:t>(b)</w:t>
      </w:r>
      <w:r>
        <w:tab/>
        <w:t>Appropriated to:</w:t>
      </w:r>
    </w:p>
    <w:p w:rsidR="006A78AC" w:rsidRDefault="006A78AC" w:rsidP="009C53F8">
      <w:pPr>
        <w:pStyle w:val="BodyText"/>
        <w:widowControl w:val="0"/>
        <w:ind w:left="720" w:firstLine="720"/>
      </w:pPr>
      <w:r>
        <w:t>See B.T. 16-091</w:t>
      </w:r>
      <w:r>
        <w:tab/>
      </w:r>
      <w:r>
        <w:tab/>
      </w:r>
      <w:r>
        <w:tab/>
      </w:r>
      <w:r>
        <w:tab/>
      </w:r>
      <w:r>
        <w:tab/>
        <w:t>$125,000</w:t>
      </w:r>
    </w:p>
    <w:p w:rsidR="006A78AC" w:rsidRDefault="006A78AC" w:rsidP="009C53F8">
      <w:pPr>
        <w:pStyle w:val="BodyText"/>
        <w:widowControl w:val="0"/>
        <w:ind w:left="720"/>
      </w:pPr>
      <w:r>
        <w:t>(c)</w:t>
      </w:r>
      <w:r>
        <w:tab/>
        <w:t>Explanation of Appropriation</w:t>
      </w:r>
    </w:p>
    <w:p w:rsidR="006A78AC" w:rsidRDefault="006A78AC" w:rsidP="009C53F8">
      <w:pPr>
        <w:spacing w:line="450" w:lineRule="atLeast"/>
        <w:ind w:left="1440" w:right="720"/>
        <w:jc w:val="both"/>
      </w:pPr>
      <w:r>
        <w:t>The appropriation described above is transferring $125,000.00 from General Fund - GSD Judgments, Claims and Losses Account (GCGA011CA-04939) to settle the Litigation.</w:t>
      </w:r>
    </w:p>
    <w:p w:rsidR="006A78AC" w:rsidRPr="003C6DAC" w:rsidRDefault="006A78AC" w:rsidP="003C6DAC">
      <w:pPr>
        <w:spacing w:line="450" w:lineRule="atLeast"/>
        <w:ind w:right="720" w:firstLine="720"/>
        <w:jc w:val="both"/>
        <w:rPr>
          <w:snapToGrid w:val="0"/>
        </w:rPr>
      </w:pPr>
      <w:r>
        <w:rPr>
          <w:b/>
          <w:bCs/>
        </w:rPr>
        <w:t>Section 2.</w:t>
      </w:r>
      <w:r>
        <w:rPr>
          <w:b/>
          <w:bCs/>
        </w:rPr>
        <w:tab/>
      </w:r>
      <w:r>
        <w:rPr>
          <w:b/>
          <w:bCs/>
        </w:rPr>
        <w:tab/>
        <w:t>Carryover.</w:t>
      </w:r>
      <w:r>
        <w:tab/>
      </w:r>
      <w:r>
        <w:tab/>
        <w:t>The funds appropriated herein shall not lapse but shall carryover into fiscal year 2016-2017 to the extent necessary to complete the settlement herein approved.</w:t>
      </w:r>
    </w:p>
    <w:p w:rsidR="006A78AC" w:rsidRDefault="006A78AC" w:rsidP="00A446B6">
      <w:pPr>
        <w:widowControl w:val="0"/>
        <w:spacing w:line="450" w:lineRule="atLeast"/>
        <w:ind w:firstLine="720"/>
        <w:jc w:val="both"/>
      </w:pPr>
      <w:r>
        <w:rPr>
          <w:b/>
          <w:bCs/>
        </w:rPr>
        <w:t>Section 3</w:t>
      </w:r>
      <w:r w:rsidRPr="00444C73">
        <w:rPr>
          <w:b/>
          <w:bCs/>
        </w:rPr>
        <w:t>.</w:t>
      </w:r>
      <w:r>
        <w:tab/>
      </w:r>
      <w:r>
        <w:tab/>
      </w:r>
      <w:r>
        <w:rPr>
          <w:b/>
          <w:bCs/>
        </w:rPr>
        <w:t xml:space="preserve">Settlement Approved. </w:t>
      </w:r>
      <w:r>
        <w:t xml:space="preserve">The Council </w:t>
      </w:r>
      <w:r w:rsidRPr="003165A8">
        <w:t>hereby approv</w:t>
      </w:r>
      <w:r>
        <w:t>es</w:t>
      </w:r>
      <w:r w:rsidRPr="003165A8">
        <w:t xml:space="preserve"> </w:t>
      </w:r>
      <w:r>
        <w:t>the proposed settlement of the lawsuit styled Palms Partnership, LLC vs. City of Jacksonville, Case No. 2012-CA-012382 in the Circuit Court for the Fourth Judicial Circuit, In and For Duval County, Florida, wherein the City is alleged to have breached an agreement for the development of Palms Fish Camp abutting the Trout River along Heckscher Drive, among other claims.  The terms of the settlement provide for: payment by the City to the Plaintiff of $125,000 for settlement of the Litigation; Plaintiff’s dismissal of its claims and the City’s dismissal of its Counterclaim; and, the execution of a Settlement and Release Agreement, among other related terms.</w:t>
      </w:r>
    </w:p>
    <w:p w:rsidR="006A78AC" w:rsidRPr="0066594E" w:rsidRDefault="006A78AC" w:rsidP="00962304">
      <w:pPr>
        <w:spacing w:line="450" w:lineRule="atLeast"/>
        <w:ind w:firstLine="720"/>
        <w:jc w:val="both"/>
      </w:pPr>
      <w:r>
        <w:rPr>
          <w:b/>
          <w:bCs/>
        </w:rPr>
        <w:t>Section 4</w:t>
      </w:r>
      <w:r w:rsidRPr="0050271E">
        <w:rPr>
          <w:b/>
          <w:bCs/>
        </w:rPr>
        <w:t>.</w:t>
      </w:r>
      <w:r>
        <w:tab/>
      </w:r>
      <w:r>
        <w:tab/>
      </w:r>
      <w:r>
        <w:rPr>
          <w:b/>
          <w:bCs/>
        </w:rPr>
        <w:t>Approval and Authorization.</w:t>
      </w:r>
      <w:r>
        <w:t xml:space="preserve"> There is hereby approved, and the Mayor, or his designee, and the Corporation Secretary are hereby authorized to execute and deliver, for and on behalf of the City, the Settlement and Release Agreement between the Plaintiff, Palms Partnership, LLC, and the City, in substantially the form attached hereto and incorporated herein as </w:t>
      </w:r>
      <w:r w:rsidRPr="00577D50">
        <w:rPr>
          <w:b/>
          <w:bCs/>
        </w:rPr>
        <w:t xml:space="preserve">Exhibit </w:t>
      </w:r>
      <w:r>
        <w:rPr>
          <w:b/>
          <w:bCs/>
        </w:rPr>
        <w:t>2</w:t>
      </w:r>
      <w:r>
        <w:t xml:space="preserve"> (the “Settlement”)</w:t>
      </w:r>
      <w:r>
        <w:rPr>
          <w:b/>
          <w:bCs/>
        </w:rPr>
        <w:t xml:space="preserve">, </w:t>
      </w:r>
      <w:r>
        <w:t>and the General Cou</w:t>
      </w:r>
      <w:r w:rsidRPr="0066594E">
        <w:t>nsel</w:t>
      </w:r>
      <w:r>
        <w:t>,</w:t>
      </w:r>
      <w:r w:rsidRPr="0066594E">
        <w:t xml:space="preserve"> or his designee</w:t>
      </w:r>
      <w:r>
        <w:t>,</w:t>
      </w:r>
      <w:r w:rsidRPr="0066594E">
        <w:t xml:space="preserve"> is </w:t>
      </w:r>
      <w:r>
        <w:t xml:space="preserve">hereby </w:t>
      </w:r>
      <w:r w:rsidRPr="0066594E">
        <w:t xml:space="preserve">authorized to assist in preparation </w:t>
      </w:r>
      <w:r>
        <w:t>and ex</w:t>
      </w:r>
      <w:r w:rsidRPr="0066594E">
        <w:t xml:space="preserve">ecution of </w:t>
      </w:r>
      <w:r>
        <w:t xml:space="preserve">necessary </w:t>
      </w:r>
      <w:r w:rsidRPr="0066594E">
        <w:t>collateral documents, such as a dismissal with prejudice, in furthe</w:t>
      </w:r>
      <w:r>
        <w:t>rance of the S</w:t>
      </w:r>
      <w:r w:rsidRPr="0066594E">
        <w:t>ettlement.</w:t>
      </w:r>
    </w:p>
    <w:p w:rsidR="006A78AC" w:rsidRPr="003C6DAC" w:rsidRDefault="006A78AC" w:rsidP="003C6DAC">
      <w:pPr>
        <w:spacing w:line="450" w:lineRule="atLeast"/>
        <w:ind w:firstLine="720"/>
        <w:jc w:val="both"/>
      </w:pPr>
      <w:r>
        <w:rPr>
          <w:b/>
          <w:bCs/>
        </w:rPr>
        <w:t>Section 5</w:t>
      </w:r>
      <w:r w:rsidRPr="00D56E4B">
        <w:rPr>
          <w:b/>
          <w:bCs/>
        </w:rPr>
        <w:t>.</w:t>
      </w:r>
      <w:r w:rsidRPr="00D56E4B">
        <w:rPr>
          <w:b/>
          <w:bCs/>
        </w:rPr>
        <w:tab/>
      </w:r>
      <w:r w:rsidRPr="00D56E4B">
        <w:rPr>
          <w:b/>
          <w:bCs/>
        </w:rPr>
        <w:tab/>
      </w:r>
      <w:r>
        <w:rPr>
          <w:b/>
          <w:bCs/>
        </w:rPr>
        <w:t>Oversight.</w:t>
      </w:r>
      <w:r>
        <w:tab/>
      </w:r>
      <w:r>
        <w:tab/>
        <w:t>The Department of Parks, Recreation and Community Services shall oversee the Settlement.</w:t>
      </w:r>
    </w:p>
    <w:p w:rsidR="006A78AC" w:rsidRDefault="006A78AC" w:rsidP="003606FE">
      <w:pPr>
        <w:spacing w:line="450" w:lineRule="atLeast"/>
        <w:ind w:firstLine="720"/>
        <w:jc w:val="both"/>
      </w:pPr>
      <w:r w:rsidRPr="00444C73">
        <w:rPr>
          <w:b/>
          <w:bCs/>
        </w:rPr>
        <w:t>Se</w:t>
      </w:r>
      <w:r>
        <w:rPr>
          <w:b/>
          <w:bCs/>
        </w:rPr>
        <w:t>ction 6</w:t>
      </w:r>
      <w:r w:rsidRPr="00444C73">
        <w:rPr>
          <w:b/>
          <w:bCs/>
        </w:rPr>
        <w:t>.</w:t>
      </w:r>
      <w:r>
        <w:tab/>
      </w:r>
      <w:r>
        <w:tab/>
      </w:r>
      <w:r w:rsidRPr="00444C73">
        <w:rPr>
          <w:b/>
          <w:bCs/>
        </w:rPr>
        <w:t xml:space="preserve">Effective Date. </w:t>
      </w:r>
      <w:r>
        <w:t xml:space="preserve"> This ordinance shall become effective upon signature by the Mayor or upon becoming effective without the Mayor’s signature.</w:t>
      </w:r>
    </w:p>
    <w:p w:rsidR="006A78AC" w:rsidRDefault="006A78AC" w:rsidP="00444C73">
      <w:pPr>
        <w:spacing w:line="450" w:lineRule="atLeast"/>
        <w:jc w:val="both"/>
      </w:pPr>
    </w:p>
    <w:p w:rsidR="006A78AC" w:rsidRDefault="006A78AC" w:rsidP="00444C73">
      <w:pPr>
        <w:spacing w:line="450" w:lineRule="atLeast"/>
        <w:jc w:val="both"/>
      </w:pPr>
      <w:r>
        <w:t>Form approved:</w:t>
      </w:r>
    </w:p>
    <w:p w:rsidR="006A78AC" w:rsidRDefault="006A78AC" w:rsidP="00444C73">
      <w:pPr>
        <w:spacing w:line="450" w:lineRule="atLeast"/>
        <w:jc w:val="both"/>
      </w:pPr>
    </w:p>
    <w:p w:rsidR="006A78AC" w:rsidRPr="00681FE1" w:rsidRDefault="006A78AC" w:rsidP="00EB4D0F">
      <w:pPr>
        <w:widowControl w:val="0"/>
        <w:spacing w:line="450" w:lineRule="atLeast"/>
        <w:rPr>
          <w:u w:val="single"/>
        </w:rPr>
      </w:pPr>
      <w:r>
        <w:rPr>
          <w:u w:val="single"/>
        </w:rPr>
        <w:t xml:space="preserve">   /s/   James R. McCain, Jr.</w:t>
      </w:r>
    </w:p>
    <w:p w:rsidR="006A78AC" w:rsidRDefault="006A78AC" w:rsidP="00444C73">
      <w:pPr>
        <w:spacing w:line="450" w:lineRule="atLeast"/>
        <w:jc w:val="both"/>
      </w:pPr>
      <w:r>
        <w:t>Office of General Counsel</w:t>
      </w:r>
    </w:p>
    <w:p w:rsidR="006A78AC" w:rsidRDefault="006A78AC" w:rsidP="00444C73">
      <w:pPr>
        <w:spacing w:line="450" w:lineRule="atLeast"/>
        <w:jc w:val="both"/>
      </w:pPr>
      <w:r>
        <w:t xml:space="preserve">Legislation Prepared By: Michael B. Wedner </w:t>
      </w:r>
    </w:p>
    <w:p w:rsidR="006A78AC" w:rsidRPr="003C6DAC" w:rsidRDefault="006A78AC" w:rsidP="00444C73">
      <w:pPr>
        <w:spacing w:line="450" w:lineRule="atLeast"/>
        <w:jc w:val="both"/>
      </w:pPr>
      <w:fldSimple w:instr=" FILENAME  \p  \* MERGEFORMAT ">
        <w:r w:rsidRPr="001A5E9C">
          <w:rPr>
            <w:noProof/>
            <w:sz w:val="16"/>
            <w:szCs w:val="16"/>
          </w:rPr>
          <w:t>G:\SHARED\LEGIS.CC\2016\Ord\06.13.16.BT.16.091.CO.Palms.settlement.docx</w:t>
        </w:r>
      </w:fldSimple>
    </w:p>
    <w:sectPr w:rsidR="006A78AC" w:rsidRPr="003C6DAC" w:rsidSect="009D11D6">
      <w:footerReference w:type="default" r:id="rId7"/>
      <w:type w:val="continuous"/>
      <w:pgSz w:w="12240" w:h="15840" w:code="1"/>
      <w:pgMar w:top="1008" w:right="1440" w:bottom="630" w:left="1440" w:header="720" w:footer="45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AC" w:rsidRDefault="006A78AC">
      <w:r>
        <w:separator/>
      </w:r>
    </w:p>
  </w:endnote>
  <w:endnote w:type="continuationSeparator" w:id="0">
    <w:p w:rsidR="006A78AC" w:rsidRDefault="006A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AC" w:rsidRDefault="006A78A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78AC" w:rsidRDefault="006A7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AC" w:rsidRDefault="006A78AC">
      <w:r>
        <w:separator/>
      </w:r>
    </w:p>
  </w:footnote>
  <w:footnote w:type="continuationSeparator" w:id="0">
    <w:p w:rsidR="006A78AC" w:rsidRDefault="006A7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A0"/>
    <w:multiLevelType w:val="hybridMultilevel"/>
    <w:tmpl w:val="DAD0D722"/>
    <w:lvl w:ilvl="0" w:tplc="62C6B4BA">
      <w:start w:val="10"/>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01B14F0"/>
    <w:multiLevelType w:val="hybridMultilevel"/>
    <w:tmpl w:val="63647360"/>
    <w:lvl w:ilvl="0" w:tplc="DBDC17BA">
      <w:start w:val="2"/>
      <w:numFmt w:val="decimal"/>
      <w:lvlText w:val="(%1)"/>
      <w:lvlJc w:val="left"/>
      <w:pPr>
        <w:tabs>
          <w:tab w:val="num" w:pos="2160"/>
        </w:tabs>
        <w:ind w:left="2160" w:hanging="720"/>
      </w:pPr>
      <w:rPr>
        <w:rFonts w:hint="default"/>
        <w:u w:val="single"/>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105D00C1"/>
    <w:multiLevelType w:val="hybridMultilevel"/>
    <w:tmpl w:val="2716D3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1">
      <w:start w:val="1"/>
      <w:numFmt w:val="bullet"/>
      <w:lvlText w:val=""/>
      <w:lvlJc w:val="left"/>
      <w:pPr>
        <w:tabs>
          <w:tab w:val="num" w:pos="1440"/>
        </w:tabs>
        <w:ind w:left="1440" w:hanging="36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3D1578"/>
    <w:multiLevelType w:val="hybridMultilevel"/>
    <w:tmpl w:val="2B0E2B94"/>
    <w:lvl w:ilvl="0" w:tplc="1E0ADFE6">
      <w:start w:val="6"/>
      <w:numFmt w:val="lowerLetter"/>
      <w:lvlText w:val="(%1)"/>
      <w:lvlJc w:val="left"/>
      <w:pPr>
        <w:tabs>
          <w:tab w:val="num" w:pos="1800"/>
        </w:tabs>
        <w:ind w:left="1800" w:hanging="720"/>
      </w:pPr>
      <w:rPr>
        <w:rFonts w:hint="default"/>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8A06D75"/>
    <w:multiLevelType w:val="multilevel"/>
    <w:tmpl w:val="E9088858"/>
    <w:lvl w:ilvl="0">
      <w:start w:val="168"/>
      <w:numFmt w:val="decimal"/>
      <w:lvlText w:val="%1"/>
      <w:lvlJc w:val="left"/>
      <w:pPr>
        <w:tabs>
          <w:tab w:val="num" w:pos="2160"/>
        </w:tabs>
        <w:ind w:left="2160" w:hanging="2160"/>
      </w:pPr>
      <w:rPr>
        <w:rFonts w:hint="default"/>
      </w:rPr>
    </w:lvl>
    <w:lvl w:ilvl="1">
      <w:start w:val="104"/>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nsid w:val="20A877CF"/>
    <w:multiLevelType w:val="multilevel"/>
    <w:tmpl w:val="0316DEBC"/>
    <w:lvl w:ilvl="0">
      <w:start w:val="168"/>
      <w:numFmt w:val="decimal"/>
      <w:lvlText w:val="%1"/>
      <w:lvlJc w:val="left"/>
      <w:pPr>
        <w:tabs>
          <w:tab w:val="num" w:pos="2160"/>
        </w:tabs>
        <w:ind w:left="2160" w:hanging="2160"/>
      </w:pPr>
      <w:rPr>
        <w:rFonts w:hint="default"/>
      </w:rPr>
    </w:lvl>
    <w:lvl w:ilvl="1">
      <w:start w:val="110"/>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32507194"/>
    <w:multiLevelType w:val="hybridMultilevel"/>
    <w:tmpl w:val="D01421F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nsid w:val="32EC33B2"/>
    <w:multiLevelType w:val="hybridMultilevel"/>
    <w:tmpl w:val="0366A912"/>
    <w:lvl w:ilvl="0" w:tplc="6CAA4EA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475559E2"/>
    <w:multiLevelType w:val="hybridMultilevel"/>
    <w:tmpl w:val="36FA7F02"/>
    <w:lvl w:ilvl="0" w:tplc="FFFFFFFF">
      <w:start w:val="1"/>
      <w:numFmt w:val="decimal"/>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
    <w:nsid w:val="485539A9"/>
    <w:multiLevelType w:val="hybridMultilevel"/>
    <w:tmpl w:val="308A807E"/>
    <w:lvl w:ilvl="0" w:tplc="0BD41BBE">
      <w:start w:val="3"/>
      <w:numFmt w:val="lowerRoman"/>
      <w:lvlText w:val="(%1)"/>
      <w:lvlJc w:val="left"/>
      <w:pPr>
        <w:tabs>
          <w:tab w:val="num" w:pos="2805"/>
        </w:tabs>
        <w:ind w:left="2805" w:hanging="1365"/>
      </w:pPr>
      <w:rPr>
        <w:rFonts w:hint="default"/>
      </w:rPr>
    </w:lvl>
    <w:lvl w:ilvl="1" w:tplc="D1C89C06">
      <w:start w:val="1"/>
      <w:numFmt w:val="lowerLetter"/>
      <w:lvlText w:val="%2."/>
      <w:lvlJc w:val="left"/>
      <w:pPr>
        <w:tabs>
          <w:tab w:val="num" w:pos="2520"/>
        </w:tabs>
        <w:ind w:left="2520" w:hanging="360"/>
      </w:pPr>
    </w:lvl>
    <w:lvl w:ilvl="2" w:tplc="3CDAF80A">
      <w:start w:val="1"/>
      <w:numFmt w:val="lowerRoman"/>
      <w:lvlText w:val="%3."/>
      <w:lvlJc w:val="right"/>
      <w:pPr>
        <w:tabs>
          <w:tab w:val="num" w:pos="3240"/>
        </w:tabs>
        <w:ind w:left="3240" w:hanging="180"/>
      </w:pPr>
    </w:lvl>
    <w:lvl w:ilvl="3" w:tplc="5C104FF0">
      <w:start w:val="1"/>
      <w:numFmt w:val="decimal"/>
      <w:lvlText w:val="%4."/>
      <w:lvlJc w:val="left"/>
      <w:pPr>
        <w:tabs>
          <w:tab w:val="num" w:pos="3960"/>
        </w:tabs>
        <w:ind w:left="3960" w:hanging="360"/>
      </w:pPr>
    </w:lvl>
    <w:lvl w:ilvl="4" w:tplc="31A029E6">
      <w:start w:val="1"/>
      <w:numFmt w:val="lowerLetter"/>
      <w:lvlText w:val="%5."/>
      <w:lvlJc w:val="left"/>
      <w:pPr>
        <w:tabs>
          <w:tab w:val="num" w:pos="4680"/>
        </w:tabs>
        <w:ind w:left="4680" w:hanging="360"/>
      </w:pPr>
    </w:lvl>
    <w:lvl w:ilvl="5" w:tplc="C42ED5A2">
      <w:start w:val="1"/>
      <w:numFmt w:val="lowerRoman"/>
      <w:lvlText w:val="%6."/>
      <w:lvlJc w:val="right"/>
      <w:pPr>
        <w:tabs>
          <w:tab w:val="num" w:pos="5400"/>
        </w:tabs>
        <w:ind w:left="5400" w:hanging="180"/>
      </w:pPr>
    </w:lvl>
    <w:lvl w:ilvl="6" w:tplc="5A48DD96">
      <w:start w:val="1"/>
      <w:numFmt w:val="decimal"/>
      <w:lvlText w:val="%7."/>
      <w:lvlJc w:val="left"/>
      <w:pPr>
        <w:tabs>
          <w:tab w:val="num" w:pos="6120"/>
        </w:tabs>
        <w:ind w:left="6120" w:hanging="360"/>
      </w:pPr>
    </w:lvl>
    <w:lvl w:ilvl="7" w:tplc="48204E42">
      <w:start w:val="1"/>
      <w:numFmt w:val="lowerLetter"/>
      <w:lvlText w:val="%8."/>
      <w:lvlJc w:val="left"/>
      <w:pPr>
        <w:tabs>
          <w:tab w:val="num" w:pos="6840"/>
        </w:tabs>
        <w:ind w:left="6840" w:hanging="360"/>
      </w:pPr>
    </w:lvl>
    <w:lvl w:ilvl="8" w:tplc="A6A0E836">
      <w:start w:val="1"/>
      <w:numFmt w:val="lowerRoman"/>
      <w:lvlText w:val="%9."/>
      <w:lvlJc w:val="right"/>
      <w:pPr>
        <w:tabs>
          <w:tab w:val="num" w:pos="7560"/>
        </w:tabs>
        <w:ind w:left="7560" w:hanging="180"/>
      </w:pPr>
    </w:lvl>
  </w:abstractNum>
  <w:abstractNum w:abstractNumId="10">
    <w:nsid w:val="5989287F"/>
    <w:multiLevelType w:val="hybridMultilevel"/>
    <w:tmpl w:val="2932EEB0"/>
    <w:lvl w:ilvl="0" w:tplc="CF64E906">
      <w:start w:val="1"/>
      <w:numFmt w:val="lowerLetter"/>
      <w:lvlText w:val="(%1)"/>
      <w:lvlJc w:val="left"/>
      <w:pPr>
        <w:tabs>
          <w:tab w:val="num" w:pos="1440"/>
        </w:tabs>
        <w:ind w:left="1440" w:hanging="720"/>
      </w:pPr>
      <w:rPr>
        <w:rFonts w:hint="default"/>
      </w:rPr>
    </w:lvl>
    <w:lvl w:ilvl="1" w:tplc="2A403FC6">
      <w:start w:val="1"/>
      <w:numFmt w:val="lowerLetter"/>
      <w:lvlText w:val="%2."/>
      <w:lvlJc w:val="left"/>
      <w:pPr>
        <w:tabs>
          <w:tab w:val="num" w:pos="1800"/>
        </w:tabs>
        <w:ind w:left="1800" w:hanging="360"/>
      </w:pPr>
    </w:lvl>
    <w:lvl w:ilvl="2" w:tplc="EF481BA2">
      <w:start w:val="1"/>
      <w:numFmt w:val="lowerRoman"/>
      <w:lvlText w:val="%3."/>
      <w:lvlJc w:val="right"/>
      <w:pPr>
        <w:tabs>
          <w:tab w:val="num" w:pos="2520"/>
        </w:tabs>
        <w:ind w:left="2520" w:hanging="180"/>
      </w:pPr>
    </w:lvl>
    <w:lvl w:ilvl="3" w:tplc="6CB6055E">
      <w:start w:val="1"/>
      <w:numFmt w:val="decimal"/>
      <w:lvlText w:val="%4."/>
      <w:lvlJc w:val="left"/>
      <w:pPr>
        <w:tabs>
          <w:tab w:val="num" w:pos="3240"/>
        </w:tabs>
        <w:ind w:left="3240" w:hanging="360"/>
      </w:pPr>
    </w:lvl>
    <w:lvl w:ilvl="4" w:tplc="1F7AD35E">
      <w:start w:val="1"/>
      <w:numFmt w:val="lowerLetter"/>
      <w:lvlText w:val="%5."/>
      <w:lvlJc w:val="left"/>
      <w:pPr>
        <w:tabs>
          <w:tab w:val="num" w:pos="3960"/>
        </w:tabs>
        <w:ind w:left="3960" w:hanging="360"/>
      </w:pPr>
    </w:lvl>
    <w:lvl w:ilvl="5" w:tplc="57048EC6">
      <w:start w:val="1"/>
      <w:numFmt w:val="lowerRoman"/>
      <w:lvlText w:val="%6."/>
      <w:lvlJc w:val="right"/>
      <w:pPr>
        <w:tabs>
          <w:tab w:val="num" w:pos="4680"/>
        </w:tabs>
        <w:ind w:left="4680" w:hanging="180"/>
      </w:pPr>
    </w:lvl>
    <w:lvl w:ilvl="6" w:tplc="D512ADCA">
      <w:start w:val="1"/>
      <w:numFmt w:val="decimal"/>
      <w:lvlText w:val="%7."/>
      <w:lvlJc w:val="left"/>
      <w:pPr>
        <w:tabs>
          <w:tab w:val="num" w:pos="5400"/>
        </w:tabs>
        <w:ind w:left="5400" w:hanging="360"/>
      </w:pPr>
    </w:lvl>
    <w:lvl w:ilvl="7" w:tplc="CFBC0CCA">
      <w:start w:val="1"/>
      <w:numFmt w:val="lowerLetter"/>
      <w:lvlText w:val="%8."/>
      <w:lvlJc w:val="left"/>
      <w:pPr>
        <w:tabs>
          <w:tab w:val="num" w:pos="6120"/>
        </w:tabs>
        <w:ind w:left="6120" w:hanging="360"/>
      </w:pPr>
    </w:lvl>
    <w:lvl w:ilvl="8" w:tplc="FDD6846E">
      <w:start w:val="1"/>
      <w:numFmt w:val="lowerRoman"/>
      <w:lvlText w:val="%9."/>
      <w:lvlJc w:val="right"/>
      <w:pPr>
        <w:tabs>
          <w:tab w:val="num" w:pos="6840"/>
        </w:tabs>
        <w:ind w:left="6840" w:hanging="180"/>
      </w:pPr>
    </w:lvl>
  </w:abstractNum>
  <w:abstractNum w:abstractNumId="11">
    <w:nsid w:val="5BCF5704"/>
    <w:multiLevelType w:val="hybridMultilevel"/>
    <w:tmpl w:val="0CF46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CFD0470"/>
    <w:multiLevelType w:val="hybridMultilevel"/>
    <w:tmpl w:val="02223FE2"/>
    <w:lvl w:ilvl="0" w:tplc="79CC0B84">
      <w:start w:val="5"/>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C564904"/>
    <w:multiLevelType w:val="hybridMultilevel"/>
    <w:tmpl w:val="7BC6F650"/>
    <w:lvl w:ilvl="0" w:tplc="9F2E116A">
      <w:start w:val="6"/>
      <w:numFmt w:val="lowerLetter"/>
      <w:lvlText w:val="(%1)"/>
      <w:lvlJc w:val="left"/>
      <w:pPr>
        <w:tabs>
          <w:tab w:val="num" w:pos="1800"/>
        </w:tabs>
        <w:ind w:left="1800" w:hanging="720"/>
      </w:pPr>
      <w:rPr>
        <w:rFonts w:hint="default"/>
        <w:i w:val="0"/>
        <w:iCs w:val="0"/>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4"/>
  </w:num>
  <w:num w:numId="2">
    <w:abstractNumId w:val="5"/>
  </w:num>
  <w:num w:numId="3">
    <w:abstractNumId w:val="10"/>
  </w:num>
  <w:num w:numId="4">
    <w:abstractNumId w:val="9"/>
  </w:num>
  <w:num w:numId="5">
    <w:abstractNumId w:val="0"/>
  </w:num>
  <w:num w:numId="6">
    <w:abstractNumId w:val="8"/>
  </w:num>
  <w:num w:numId="7">
    <w:abstractNumId w:val="1"/>
  </w:num>
  <w:num w:numId="8">
    <w:abstractNumId w:val="2"/>
  </w:num>
  <w:num w:numId="9">
    <w:abstractNumId w:val="13"/>
  </w:num>
  <w:num w:numId="10">
    <w:abstractNumId w:val="3"/>
  </w:num>
  <w:num w:numId="11">
    <w:abstractNumId w:val="11"/>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105"/>
    <w:rsid w:val="000070B5"/>
    <w:rsid w:val="00007C0A"/>
    <w:rsid w:val="00017198"/>
    <w:rsid w:val="000202AD"/>
    <w:rsid w:val="000215C3"/>
    <w:rsid w:val="0002265D"/>
    <w:rsid w:val="000435B6"/>
    <w:rsid w:val="00044356"/>
    <w:rsid w:val="00046054"/>
    <w:rsid w:val="00063D7B"/>
    <w:rsid w:val="00064DE7"/>
    <w:rsid w:val="00071F55"/>
    <w:rsid w:val="000736E3"/>
    <w:rsid w:val="00073CC3"/>
    <w:rsid w:val="00074940"/>
    <w:rsid w:val="00094DB1"/>
    <w:rsid w:val="000C011B"/>
    <w:rsid w:val="000C27AF"/>
    <w:rsid w:val="000D1705"/>
    <w:rsid w:val="000D2F05"/>
    <w:rsid w:val="000E0F33"/>
    <w:rsid w:val="000E4965"/>
    <w:rsid w:val="000F1CFA"/>
    <w:rsid w:val="000F3662"/>
    <w:rsid w:val="000F4980"/>
    <w:rsid w:val="001022CA"/>
    <w:rsid w:val="00107ED4"/>
    <w:rsid w:val="00111C3F"/>
    <w:rsid w:val="0011278F"/>
    <w:rsid w:val="00114BDD"/>
    <w:rsid w:val="001157E0"/>
    <w:rsid w:val="001236A5"/>
    <w:rsid w:val="00125735"/>
    <w:rsid w:val="00133FC0"/>
    <w:rsid w:val="00137E7C"/>
    <w:rsid w:val="00165EEE"/>
    <w:rsid w:val="001865E7"/>
    <w:rsid w:val="001938F8"/>
    <w:rsid w:val="001979FA"/>
    <w:rsid w:val="001A1F08"/>
    <w:rsid w:val="001A5E9C"/>
    <w:rsid w:val="001A7F95"/>
    <w:rsid w:val="001B7418"/>
    <w:rsid w:val="001E406E"/>
    <w:rsid w:val="001F0A35"/>
    <w:rsid w:val="001F61B3"/>
    <w:rsid w:val="002122DC"/>
    <w:rsid w:val="0021570F"/>
    <w:rsid w:val="002223A2"/>
    <w:rsid w:val="002228EE"/>
    <w:rsid w:val="00252325"/>
    <w:rsid w:val="002530A5"/>
    <w:rsid w:val="00273823"/>
    <w:rsid w:val="002769F3"/>
    <w:rsid w:val="00297D5E"/>
    <w:rsid w:val="002C206A"/>
    <w:rsid w:val="002C6D3F"/>
    <w:rsid w:val="002D495A"/>
    <w:rsid w:val="002E34F6"/>
    <w:rsid w:val="002F2436"/>
    <w:rsid w:val="0030584A"/>
    <w:rsid w:val="00306EAC"/>
    <w:rsid w:val="003165A8"/>
    <w:rsid w:val="0032145F"/>
    <w:rsid w:val="003275E5"/>
    <w:rsid w:val="00345048"/>
    <w:rsid w:val="00346611"/>
    <w:rsid w:val="003532CD"/>
    <w:rsid w:val="003576BC"/>
    <w:rsid w:val="003606FE"/>
    <w:rsid w:val="00367212"/>
    <w:rsid w:val="003673A0"/>
    <w:rsid w:val="003709EC"/>
    <w:rsid w:val="00372D1B"/>
    <w:rsid w:val="003779C1"/>
    <w:rsid w:val="0038225C"/>
    <w:rsid w:val="00383D52"/>
    <w:rsid w:val="00387665"/>
    <w:rsid w:val="003C4587"/>
    <w:rsid w:val="003C6DAC"/>
    <w:rsid w:val="003D1439"/>
    <w:rsid w:val="003D2E45"/>
    <w:rsid w:val="003E08F8"/>
    <w:rsid w:val="003E6299"/>
    <w:rsid w:val="003F300A"/>
    <w:rsid w:val="00422FAF"/>
    <w:rsid w:val="00444C73"/>
    <w:rsid w:val="00466EED"/>
    <w:rsid w:val="00470CD7"/>
    <w:rsid w:val="004810BF"/>
    <w:rsid w:val="004841B1"/>
    <w:rsid w:val="004A3464"/>
    <w:rsid w:val="004B2F4A"/>
    <w:rsid w:val="004B371A"/>
    <w:rsid w:val="004C14B6"/>
    <w:rsid w:val="004C5621"/>
    <w:rsid w:val="004D1A08"/>
    <w:rsid w:val="004D3CCC"/>
    <w:rsid w:val="004D40CD"/>
    <w:rsid w:val="004E10AD"/>
    <w:rsid w:val="004E2E2F"/>
    <w:rsid w:val="004E417A"/>
    <w:rsid w:val="004E7375"/>
    <w:rsid w:val="0050271E"/>
    <w:rsid w:val="00504985"/>
    <w:rsid w:val="00514F8A"/>
    <w:rsid w:val="00517CCE"/>
    <w:rsid w:val="0053089F"/>
    <w:rsid w:val="005310E4"/>
    <w:rsid w:val="00544FCC"/>
    <w:rsid w:val="0055025E"/>
    <w:rsid w:val="00555537"/>
    <w:rsid w:val="005576EF"/>
    <w:rsid w:val="00577D50"/>
    <w:rsid w:val="00580105"/>
    <w:rsid w:val="00596430"/>
    <w:rsid w:val="005B41BE"/>
    <w:rsid w:val="005D61EA"/>
    <w:rsid w:val="005E629D"/>
    <w:rsid w:val="005F20CE"/>
    <w:rsid w:val="00600E25"/>
    <w:rsid w:val="006154B7"/>
    <w:rsid w:val="00620136"/>
    <w:rsid w:val="00623A11"/>
    <w:rsid w:val="00643E4E"/>
    <w:rsid w:val="006459A8"/>
    <w:rsid w:val="0065028F"/>
    <w:rsid w:val="0066571F"/>
    <w:rsid w:val="0066594E"/>
    <w:rsid w:val="00674E14"/>
    <w:rsid w:val="00681FE1"/>
    <w:rsid w:val="00692C08"/>
    <w:rsid w:val="0069357A"/>
    <w:rsid w:val="00695789"/>
    <w:rsid w:val="00695990"/>
    <w:rsid w:val="006A4BF3"/>
    <w:rsid w:val="006A78AC"/>
    <w:rsid w:val="006A7B29"/>
    <w:rsid w:val="006D7F39"/>
    <w:rsid w:val="00702B1D"/>
    <w:rsid w:val="0073558C"/>
    <w:rsid w:val="00736C87"/>
    <w:rsid w:val="007370C1"/>
    <w:rsid w:val="00741C1E"/>
    <w:rsid w:val="00742654"/>
    <w:rsid w:val="007630AD"/>
    <w:rsid w:val="00763D17"/>
    <w:rsid w:val="007662FE"/>
    <w:rsid w:val="00775B53"/>
    <w:rsid w:val="007849FC"/>
    <w:rsid w:val="00791191"/>
    <w:rsid w:val="00794F51"/>
    <w:rsid w:val="007A27F9"/>
    <w:rsid w:val="007A4B6C"/>
    <w:rsid w:val="007A7956"/>
    <w:rsid w:val="007B120E"/>
    <w:rsid w:val="007C4DA8"/>
    <w:rsid w:val="007E2707"/>
    <w:rsid w:val="007E4524"/>
    <w:rsid w:val="007F508D"/>
    <w:rsid w:val="007F583D"/>
    <w:rsid w:val="0081614A"/>
    <w:rsid w:val="008171F3"/>
    <w:rsid w:val="0082504B"/>
    <w:rsid w:val="00833078"/>
    <w:rsid w:val="0084150E"/>
    <w:rsid w:val="00864D6C"/>
    <w:rsid w:val="00871105"/>
    <w:rsid w:val="0088182D"/>
    <w:rsid w:val="00887DE9"/>
    <w:rsid w:val="008A1364"/>
    <w:rsid w:val="008A29F1"/>
    <w:rsid w:val="008A6254"/>
    <w:rsid w:val="008B4A7E"/>
    <w:rsid w:val="008C3CA3"/>
    <w:rsid w:val="008C607E"/>
    <w:rsid w:val="00920988"/>
    <w:rsid w:val="009245EF"/>
    <w:rsid w:val="00925C3A"/>
    <w:rsid w:val="00936E89"/>
    <w:rsid w:val="0093745B"/>
    <w:rsid w:val="0094468E"/>
    <w:rsid w:val="00946D70"/>
    <w:rsid w:val="00947041"/>
    <w:rsid w:val="00952B04"/>
    <w:rsid w:val="00960DC1"/>
    <w:rsid w:val="00962304"/>
    <w:rsid w:val="00966FE9"/>
    <w:rsid w:val="009744E6"/>
    <w:rsid w:val="009A21B7"/>
    <w:rsid w:val="009C1086"/>
    <w:rsid w:val="009C53F8"/>
    <w:rsid w:val="009D11D6"/>
    <w:rsid w:val="009D6F45"/>
    <w:rsid w:val="00A11675"/>
    <w:rsid w:val="00A446B6"/>
    <w:rsid w:val="00A45B7A"/>
    <w:rsid w:val="00A478CE"/>
    <w:rsid w:val="00A635C0"/>
    <w:rsid w:val="00A778AB"/>
    <w:rsid w:val="00A87240"/>
    <w:rsid w:val="00A91BC0"/>
    <w:rsid w:val="00A91E1F"/>
    <w:rsid w:val="00A9604E"/>
    <w:rsid w:val="00AA2937"/>
    <w:rsid w:val="00AA4169"/>
    <w:rsid w:val="00AA4AC0"/>
    <w:rsid w:val="00AB1393"/>
    <w:rsid w:val="00AC1B15"/>
    <w:rsid w:val="00AC2468"/>
    <w:rsid w:val="00AD158C"/>
    <w:rsid w:val="00AE0A41"/>
    <w:rsid w:val="00AE2A02"/>
    <w:rsid w:val="00AE41EA"/>
    <w:rsid w:val="00AE736F"/>
    <w:rsid w:val="00AF062F"/>
    <w:rsid w:val="00B16737"/>
    <w:rsid w:val="00B22A20"/>
    <w:rsid w:val="00B40687"/>
    <w:rsid w:val="00B44D79"/>
    <w:rsid w:val="00B65B9E"/>
    <w:rsid w:val="00B71379"/>
    <w:rsid w:val="00B7186E"/>
    <w:rsid w:val="00B80C8E"/>
    <w:rsid w:val="00B85B2C"/>
    <w:rsid w:val="00B9180F"/>
    <w:rsid w:val="00B92D98"/>
    <w:rsid w:val="00B94F73"/>
    <w:rsid w:val="00BB3F76"/>
    <w:rsid w:val="00BE53CA"/>
    <w:rsid w:val="00BF682A"/>
    <w:rsid w:val="00C06A74"/>
    <w:rsid w:val="00C122ED"/>
    <w:rsid w:val="00C23F7F"/>
    <w:rsid w:val="00C35299"/>
    <w:rsid w:val="00C35C1C"/>
    <w:rsid w:val="00C42862"/>
    <w:rsid w:val="00C42AEA"/>
    <w:rsid w:val="00C72E4A"/>
    <w:rsid w:val="00C76485"/>
    <w:rsid w:val="00C77034"/>
    <w:rsid w:val="00C821EF"/>
    <w:rsid w:val="00C83E0D"/>
    <w:rsid w:val="00CB125B"/>
    <w:rsid w:val="00CC4485"/>
    <w:rsid w:val="00CD5792"/>
    <w:rsid w:val="00CE195E"/>
    <w:rsid w:val="00CE4318"/>
    <w:rsid w:val="00CE616C"/>
    <w:rsid w:val="00CF25EE"/>
    <w:rsid w:val="00D06700"/>
    <w:rsid w:val="00D124F3"/>
    <w:rsid w:val="00D21318"/>
    <w:rsid w:val="00D32AC2"/>
    <w:rsid w:val="00D3748D"/>
    <w:rsid w:val="00D37824"/>
    <w:rsid w:val="00D471F5"/>
    <w:rsid w:val="00D475B2"/>
    <w:rsid w:val="00D55F85"/>
    <w:rsid w:val="00D56E4B"/>
    <w:rsid w:val="00D60E38"/>
    <w:rsid w:val="00D65D56"/>
    <w:rsid w:val="00D82F4B"/>
    <w:rsid w:val="00D86DEC"/>
    <w:rsid w:val="00D937A7"/>
    <w:rsid w:val="00D97D7E"/>
    <w:rsid w:val="00DA0388"/>
    <w:rsid w:val="00DA1927"/>
    <w:rsid w:val="00DA41A0"/>
    <w:rsid w:val="00DA7FBA"/>
    <w:rsid w:val="00DB2A49"/>
    <w:rsid w:val="00DB4841"/>
    <w:rsid w:val="00DC51B6"/>
    <w:rsid w:val="00DC6D8E"/>
    <w:rsid w:val="00DC70F6"/>
    <w:rsid w:val="00DD1770"/>
    <w:rsid w:val="00DD54E7"/>
    <w:rsid w:val="00DD77E2"/>
    <w:rsid w:val="00DE3A84"/>
    <w:rsid w:val="00DE6BC8"/>
    <w:rsid w:val="00E1347D"/>
    <w:rsid w:val="00E150F8"/>
    <w:rsid w:val="00E36950"/>
    <w:rsid w:val="00E66289"/>
    <w:rsid w:val="00E82332"/>
    <w:rsid w:val="00E829D6"/>
    <w:rsid w:val="00E96999"/>
    <w:rsid w:val="00EB4D0F"/>
    <w:rsid w:val="00EB61BC"/>
    <w:rsid w:val="00EB63EF"/>
    <w:rsid w:val="00EC209C"/>
    <w:rsid w:val="00EC728C"/>
    <w:rsid w:val="00ED1FC2"/>
    <w:rsid w:val="00ED38F1"/>
    <w:rsid w:val="00ED439D"/>
    <w:rsid w:val="00EE2C3B"/>
    <w:rsid w:val="00EE543B"/>
    <w:rsid w:val="00EF1206"/>
    <w:rsid w:val="00F03EB8"/>
    <w:rsid w:val="00F15EA3"/>
    <w:rsid w:val="00F225C7"/>
    <w:rsid w:val="00F3293D"/>
    <w:rsid w:val="00F347D1"/>
    <w:rsid w:val="00F441F3"/>
    <w:rsid w:val="00F45C5E"/>
    <w:rsid w:val="00F572B5"/>
    <w:rsid w:val="00F628D6"/>
    <w:rsid w:val="00F81D19"/>
    <w:rsid w:val="00FA0429"/>
    <w:rsid w:val="00FA4136"/>
    <w:rsid w:val="00FA6992"/>
    <w:rsid w:val="00FC6583"/>
    <w:rsid w:val="00FD11C6"/>
    <w:rsid w:val="00FE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88"/>
    <w:rPr>
      <w:rFonts w:ascii="Courier New" w:hAnsi="Courier New" w:cs="Courier New"/>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33DB8"/>
    <w:rPr>
      <w:rFonts w:ascii="Courier New" w:hAnsi="Courier New" w:cs="Courier New"/>
      <w:sz w:val="23"/>
      <w:szCs w:val="23"/>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33DB8"/>
    <w:rPr>
      <w:rFonts w:ascii="Courier New" w:hAnsi="Courier New" w:cs="Courier New"/>
      <w:sz w:val="23"/>
      <w:szCs w:val="23"/>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widowControl w:val="0"/>
      <w:spacing w:line="480" w:lineRule="auto"/>
      <w:ind w:firstLine="720"/>
      <w:jc w:val="both"/>
    </w:pPr>
    <w:rPr>
      <w:sz w:val="22"/>
      <w:szCs w:val="22"/>
    </w:rPr>
  </w:style>
  <w:style w:type="character" w:customStyle="1" w:styleId="BodyTextIndentChar">
    <w:name w:val="Body Text Indent Char"/>
    <w:basedOn w:val="DefaultParagraphFont"/>
    <w:link w:val="BodyTextIndent"/>
    <w:uiPriority w:val="99"/>
    <w:semiHidden/>
    <w:rsid w:val="00033DB8"/>
    <w:rPr>
      <w:rFonts w:ascii="Courier New" w:hAnsi="Courier New" w:cs="Courier New"/>
      <w:sz w:val="23"/>
      <w:szCs w:val="23"/>
    </w:rPr>
  </w:style>
  <w:style w:type="paragraph" w:styleId="BodyText">
    <w:name w:val="Body Text"/>
    <w:basedOn w:val="Normal"/>
    <w:link w:val="BodyTextChar"/>
    <w:uiPriority w:val="99"/>
    <w:pPr>
      <w:spacing w:line="450" w:lineRule="exact"/>
    </w:pPr>
  </w:style>
  <w:style w:type="character" w:customStyle="1" w:styleId="BodyTextChar">
    <w:name w:val="Body Text Char"/>
    <w:basedOn w:val="DefaultParagraphFont"/>
    <w:link w:val="BodyText"/>
    <w:uiPriority w:val="99"/>
    <w:semiHidden/>
    <w:rsid w:val="00033DB8"/>
    <w:rPr>
      <w:rFonts w:ascii="Courier New" w:hAnsi="Courier New" w:cs="Courier New"/>
      <w:sz w:val="23"/>
      <w:szCs w:val="23"/>
    </w:rPr>
  </w:style>
  <w:style w:type="paragraph" w:styleId="BodyTextIndent2">
    <w:name w:val="Body Text Indent 2"/>
    <w:basedOn w:val="Normal"/>
    <w:link w:val="BodyTextIndent2Char"/>
    <w:uiPriority w:val="99"/>
    <w:pPr>
      <w:widowControl w:val="0"/>
      <w:spacing w:line="450" w:lineRule="exact"/>
      <w:ind w:firstLine="720"/>
    </w:pPr>
    <w:rPr>
      <w:u w:val="single"/>
    </w:rPr>
  </w:style>
  <w:style w:type="character" w:customStyle="1" w:styleId="BodyTextIndent2Char">
    <w:name w:val="Body Text Indent 2 Char"/>
    <w:basedOn w:val="DefaultParagraphFont"/>
    <w:link w:val="BodyTextIndent2"/>
    <w:uiPriority w:val="99"/>
    <w:semiHidden/>
    <w:rsid w:val="00033DB8"/>
    <w:rPr>
      <w:rFonts w:ascii="Courier New" w:hAnsi="Courier New" w:cs="Courier New"/>
      <w:sz w:val="23"/>
      <w:szCs w:val="23"/>
    </w:rPr>
  </w:style>
  <w:style w:type="paragraph" w:styleId="BodyText2">
    <w:name w:val="Body Text 2"/>
    <w:basedOn w:val="Normal"/>
    <w:link w:val="BodyText2Char"/>
    <w:uiPriority w:val="99"/>
    <w:pPr>
      <w:widowControl w:val="0"/>
      <w:spacing w:line="450" w:lineRule="exact"/>
      <w:jc w:val="both"/>
    </w:pPr>
  </w:style>
  <w:style w:type="character" w:customStyle="1" w:styleId="BodyText2Char">
    <w:name w:val="Body Text 2 Char"/>
    <w:basedOn w:val="DefaultParagraphFont"/>
    <w:link w:val="BodyText2"/>
    <w:uiPriority w:val="99"/>
    <w:semiHidden/>
    <w:rsid w:val="00033DB8"/>
    <w:rPr>
      <w:rFonts w:ascii="Courier New" w:hAnsi="Courier New" w:cs="Courier New"/>
      <w:sz w:val="23"/>
      <w:szCs w:val="23"/>
    </w:rPr>
  </w:style>
  <w:style w:type="paragraph" w:styleId="BodyTextIndent3">
    <w:name w:val="Body Text Indent 3"/>
    <w:basedOn w:val="Normal"/>
    <w:link w:val="BodyTextIndent3Char"/>
    <w:uiPriority w:val="99"/>
    <w:pPr>
      <w:widowControl w:val="0"/>
      <w:spacing w:line="450" w:lineRule="exact"/>
      <w:ind w:left="810" w:hanging="90"/>
      <w:jc w:val="both"/>
    </w:pPr>
  </w:style>
  <w:style w:type="character" w:customStyle="1" w:styleId="BodyTextIndent3Char">
    <w:name w:val="Body Text Indent 3 Char"/>
    <w:basedOn w:val="DefaultParagraphFont"/>
    <w:link w:val="BodyTextIndent3"/>
    <w:uiPriority w:val="99"/>
    <w:semiHidden/>
    <w:rsid w:val="00033DB8"/>
    <w:rPr>
      <w:rFonts w:ascii="Courier New" w:hAnsi="Courier New" w:cs="Courier New"/>
      <w:sz w:val="16"/>
      <w:szCs w:val="16"/>
    </w:rPr>
  </w:style>
  <w:style w:type="paragraph" w:styleId="List2">
    <w:name w:val="List 2"/>
    <w:basedOn w:val="Normal"/>
    <w:uiPriority w:val="99"/>
    <w:pPr>
      <w:ind w:left="720" w:hanging="360"/>
    </w:pPr>
  </w:style>
  <w:style w:type="paragraph" w:styleId="BodyText3">
    <w:name w:val="Body Text 3"/>
    <w:basedOn w:val="Normal"/>
    <w:link w:val="BodyText3Char"/>
    <w:uiPriority w:val="99"/>
    <w:pPr>
      <w:widowControl w:val="0"/>
      <w:spacing w:line="450" w:lineRule="atLeast"/>
      <w:jc w:val="both"/>
    </w:pPr>
    <w:rPr>
      <w:u w:val="single"/>
    </w:rPr>
  </w:style>
  <w:style w:type="character" w:customStyle="1" w:styleId="BodyText3Char">
    <w:name w:val="Body Text 3 Char"/>
    <w:basedOn w:val="DefaultParagraphFont"/>
    <w:link w:val="BodyText3"/>
    <w:uiPriority w:val="99"/>
    <w:semiHidden/>
    <w:rsid w:val="00033DB8"/>
    <w:rPr>
      <w:rFonts w:ascii="Courier New" w:hAnsi="Courier New" w:cs="Courier New"/>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33DB8"/>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0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874</Words>
  <Characters>4982</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Council President at the request of the Mayor:</dc:title>
  <dc:subject/>
  <dc:creator>CShaw</dc:creator>
  <cp:keywords/>
  <dc:description/>
  <cp:lastModifiedBy>zamarron</cp:lastModifiedBy>
  <cp:revision>3</cp:revision>
  <cp:lastPrinted>2016-06-09T15:35:00Z</cp:lastPrinted>
  <dcterms:created xsi:type="dcterms:W3CDTF">2016-06-22T14:34:00Z</dcterms:created>
  <dcterms:modified xsi:type="dcterms:W3CDTF">2016-06-22T18:45:00Z</dcterms:modified>
</cp:coreProperties>
</file>